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2021/22</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5"/>
        <w:gridCol w:w="4517"/>
        <w:tblGridChange w:id="0">
          <w:tblGrid>
            <w:gridCol w:w="4545"/>
            <w:gridCol w:w="4517"/>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713.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s>
              <w:spacing w:after="0" w:before="0" w:line="276" w:lineRule="auto"/>
              <w:ind w:left="-6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Fonetyka akustyczna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Acoustic Phonetics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angielski</w:t>
            </w:r>
          </w:p>
        </w:tc>
      </w:tr>
    </w:tbl>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tl w:val="0"/>
        </w:rPr>
      </w:r>
    </w:p>
    <w:tbl>
      <w:tblPr>
        <w:tblStyle w:val="Table2"/>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Sławomir Zdziebko</w:t>
            </w:r>
          </w:p>
        </w:tc>
      </w:tr>
    </w:tbl>
    <w:p w:rsidR="00000000" w:rsidDel="00000000" w:rsidP="00000000" w:rsidRDefault="00000000" w:rsidRPr="00000000" w14:paraId="00000016">
      <w:pPr>
        <w:widowControl w:val="0"/>
        <w:spacing w:after="0" w:line="240" w:lineRule="auto"/>
        <w:ind w:left="108" w:hanging="108"/>
        <w:rPr>
          <w:rFonts w:ascii="Times New Roman" w:cs="Times New Roman" w:eastAsia="Times New Roman" w:hAnsi="Times New Roman"/>
        </w:rPr>
      </w:pPr>
      <w:r w:rsidDel="00000000" w:rsidR="00000000" w:rsidRPr="00000000">
        <w:rPr>
          <w:rtl w:val="0"/>
        </w:rPr>
      </w:r>
    </w:p>
    <w:tbl>
      <w:tblPr>
        <w:tblStyle w:val="Table3"/>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spacing w:after="0" w:lin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F">
      <w:pPr>
        <w:widowControl w:val="0"/>
        <w:spacing w:after="0" w:line="240" w:lineRule="auto"/>
        <w:ind w:left="108" w:hanging="108"/>
        <w:rPr>
          <w:rFonts w:ascii="Times New Roman" w:cs="Times New Roman" w:eastAsia="Times New Roman" w:hAnsi="Times New Roman"/>
        </w:rPr>
      </w:pPr>
      <w:r w:rsidDel="00000000" w:rsidR="00000000" w:rsidRPr="00000000">
        <w:rPr>
          <w:rtl w:val="0"/>
        </w:rPr>
      </w:r>
    </w:p>
    <w:tbl>
      <w:tblPr>
        <w:tblStyle w:val="Table4"/>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12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posługuje się językiem angielskim w stopniu wymaganym od studenta 2 roku filologii angielskiej</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posiada podstawowa wiedzę dotyczącą fonetyki artykulacyjnej </w:t>
            </w:r>
          </w:p>
        </w:tc>
      </w:tr>
    </w:tbl>
    <w:p w:rsidR="00000000" w:rsidDel="00000000" w:rsidP="00000000" w:rsidRDefault="00000000" w:rsidRPr="00000000" w14:paraId="0000005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Studenci odczytują właściwości segmentów mowy ze spektrogramów</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Studenci samodzielnie dokonują analiz akustycznych ze pomocą programu Praat</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Studenci projektują i przeprowadzają autorskie badanie empiryczne mające na celu zbadanie wybranego aspektu mowy ludzkiej   </w:t>
            </w:r>
          </w:p>
        </w:tc>
      </w:tr>
    </w:tbl>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Odniesienie do efektu kierunkowego</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97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definiuje zakres badań i identyfikuje terminologię właściwą dla dziedziny fonetyki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K_W01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wymienia główne teorie i identyfikuje metodologię badań wybranych szkół badawczych w ramach fonetyki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K_W02</w:t>
            </w:r>
          </w:p>
        </w:tc>
      </w:tr>
      <w:tr>
        <w:trPr>
          <w:cantSplit w:val="0"/>
          <w:trHeight w:val="6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identyfikuje podstawowe komponenty języka i mechanizmy ich funkcjonowania w kontekście diachronicznym i synchronicznym w szczególnym odniesieniu do fonetyki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 W03</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rozróżnia metody analizy i interpretacji różnych tekstów kultury właściwe dla badań w dziedzinie fonetyki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K_W04  </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Dobierając odpowiednie źródła, student </w:t>
            </w:r>
            <w:r w:rsidDel="00000000" w:rsidR="00000000" w:rsidRPr="00000000">
              <w:rPr>
                <w:rFonts w:ascii="Times New Roman" w:cs="Times New Roman" w:eastAsia="Times New Roman" w:hAnsi="Times New Roman"/>
                <w:sz w:val="18"/>
                <w:szCs w:val="18"/>
                <w:u w:val="none"/>
                <w:rtl w:val="0"/>
              </w:rPr>
              <w:t xml:space="preserve">dokonuje syntezy </w:t>
            </w:r>
            <w:r w:rsidDel="00000000" w:rsidR="00000000" w:rsidRPr="00000000">
              <w:rPr>
                <w:rFonts w:ascii="Times New Roman" w:cs="Times New Roman" w:eastAsia="Times New Roman" w:hAnsi="Times New Roman"/>
                <w:sz w:val="18"/>
                <w:szCs w:val="18"/>
                <w:u w:val="single"/>
                <w:rtl w:val="0"/>
              </w:rPr>
              <w:t xml:space="preserve">informacji </w:t>
            </w:r>
            <w:r w:rsidDel="00000000" w:rsidR="00000000" w:rsidRPr="00000000">
              <w:rPr>
                <w:rFonts w:ascii="Times New Roman" w:cs="Times New Roman" w:eastAsia="Times New Roman" w:hAnsi="Times New Roman"/>
                <w:sz w:val="18"/>
                <w:szCs w:val="18"/>
                <w:rtl w:val="0"/>
              </w:rPr>
              <w:t xml:space="preserve">związanych z dziedziną fonetyki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K_U01 </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wykorzystywać techniki informacyjno-komunikacyjne do realizowania zadań w obrębie fonetyki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K_U03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stosuje specjalistyczną terminologię w języku angielskim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K_U06</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6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Student uznaje wartości wiedzy eksperckiej w rozwiązywaniu problemów poznawczych i praktycznych w zakresie analizy akustycznej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K_K02</w:t>
            </w:r>
          </w:p>
        </w:tc>
      </w:tr>
    </w:tbl>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6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Wstęp. Podstawowe zagadnienie fonetyki akustycznej</w:t>
            </w:r>
          </w:p>
          <w:p w:rsidR="00000000" w:rsidDel="00000000" w:rsidP="00000000" w:rsidRDefault="00000000" w:rsidRPr="00000000" w14:paraId="000000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Podstawowe parametry analizy akustycznej fal</w:t>
            </w:r>
          </w:p>
          <w:p w:rsidR="00000000" w:rsidDel="00000000" w:rsidP="00000000" w:rsidRDefault="00000000" w:rsidRPr="00000000" w14:paraId="000000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Akustyczne właściwości dźwięków mowy: samogłoski</w:t>
            </w:r>
          </w:p>
          <w:p w:rsidR="00000000" w:rsidDel="00000000" w:rsidP="00000000" w:rsidRDefault="00000000" w:rsidRPr="00000000" w14:paraId="000000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Akustyczne właściwości dźwięków mowy: spółgłoski</w:t>
            </w:r>
          </w:p>
          <w:p w:rsidR="00000000" w:rsidDel="00000000" w:rsidP="00000000" w:rsidRDefault="00000000" w:rsidRPr="00000000" w14:paraId="0000008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Funkcje i zastosowanie aplikacji Praat</w:t>
            </w:r>
          </w:p>
          <w:p w:rsidR="00000000" w:rsidDel="00000000" w:rsidP="00000000" w:rsidRDefault="00000000" w:rsidRPr="00000000" w14:paraId="000000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Względna długość nagłosu w dwóch dialektach języka angielskiego (cz. 1)</w:t>
            </w:r>
          </w:p>
          <w:p w:rsidR="00000000" w:rsidDel="00000000" w:rsidP="00000000" w:rsidRDefault="00000000" w:rsidRPr="00000000" w14:paraId="000000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Względna długość nagłosu w dwóch dialektach języka angielskiego (cz. 2)</w:t>
            </w:r>
          </w:p>
          <w:p w:rsidR="00000000" w:rsidDel="00000000" w:rsidP="00000000" w:rsidRDefault="00000000" w:rsidRPr="00000000" w14:paraId="0000008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Akustyczny środek ciężkości frykatyw w dwóch dialektach języka angielskiego (cz. 1)</w:t>
            </w:r>
          </w:p>
          <w:p w:rsidR="00000000" w:rsidDel="00000000" w:rsidP="00000000" w:rsidRDefault="00000000" w:rsidRPr="00000000" w14:paraId="000000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Akustyczny środek ciężkości frykatyw w dwóch dialektach języka angielskiego (cz. 2)</w:t>
            </w:r>
          </w:p>
          <w:p w:rsidR="00000000" w:rsidDel="00000000" w:rsidP="00000000" w:rsidRDefault="00000000" w:rsidRPr="00000000" w14:paraId="000000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Akustyczne właściwości samogłosek angielskich (cz. 1)</w:t>
            </w:r>
          </w:p>
          <w:p w:rsidR="00000000" w:rsidDel="00000000" w:rsidP="00000000" w:rsidRDefault="00000000" w:rsidRPr="00000000" w14:paraId="0000008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Akustyczne właściwości samogłosek angielskich (cz. 2)</w:t>
            </w:r>
          </w:p>
          <w:p w:rsidR="00000000" w:rsidDel="00000000" w:rsidP="00000000" w:rsidRDefault="00000000" w:rsidRPr="00000000" w14:paraId="000000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Akustyczne parametry głosek zwarto-szczelinowych w języku polskim i angielskim</w:t>
            </w:r>
          </w:p>
          <w:p w:rsidR="00000000" w:rsidDel="00000000" w:rsidP="00000000" w:rsidRDefault="00000000" w:rsidRPr="00000000" w14:paraId="000000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Podstawy metodologii językoznawczych badań terenowych</w:t>
            </w:r>
          </w:p>
          <w:p w:rsidR="00000000" w:rsidDel="00000000" w:rsidP="00000000" w:rsidRDefault="00000000" w:rsidRPr="00000000" w14:paraId="000000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Fonetyka akustyczna, a analiza fonologiczna</w:t>
            </w:r>
          </w:p>
          <w:p w:rsidR="00000000" w:rsidDel="00000000" w:rsidP="00000000" w:rsidRDefault="00000000" w:rsidRPr="00000000" w14:paraId="000000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Prezentacje studentów. Podsumowanie kursu.</w:t>
            </w:r>
          </w:p>
        </w:tc>
      </w:tr>
    </w:tbl>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8"/>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p w:rsidR="00000000" w:rsidDel="00000000" w:rsidP="00000000" w:rsidRDefault="00000000" w:rsidRPr="00000000" w14:paraId="0000009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p w:rsidR="00000000" w:rsidDel="00000000" w:rsidP="00000000" w:rsidRDefault="00000000" w:rsidRPr="00000000" w14:paraId="0000009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p w:rsidR="00000000" w:rsidDel="00000000" w:rsidP="00000000" w:rsidRDefault="00000000" w:rsidRPr="00000000" w14:paraId="0000009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(lista wyboru)</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 wprowadzający,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pracy w grupie</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 wprowadzający,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pracy w grupie</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 wprowadzający,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pracy w grupie</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 wprowadzający,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pracy w grupie</w:t>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w zespole, praca indywidualna, metoda projektu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prezentacji</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w zespole, praca indywidualna, metoda projektu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prezentacji</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w zespole, praca indywidualna, metoda projektu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prezentacji</w:t>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10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Metoda projektu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i informacja zwrotna od grupy lub prowadzącego, 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Karta oceny prezentacji</w:t>
            </w:r>
          </w:p>
        </w:tc>
      </w:tr>
    </w:tbl>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Studenci są oceniani na podstawie prezentacji autorskich analiz wybranych przez siebie parametrów akustycznych mowy. Każdy student ma obowiązek przygotowania i przedstawienia jednej prezentacji. Prezentacje są oceniane w ramach następujących kryteriów:</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 student nie osiągnął wymaganych efektów uczenia się lub osiągnął je w stopniu niezadawalającym (np. student nie używa terminologii typowej dla dziedziny fonetyki akustycznej lub używa jej niepoprawnie) LUB prezentacje cechuje duża ilość błędów metodologicznych (więcej niż 3) LUB język prezentacji nie spełnia wymagań stawianych studentom 2 roku filologii angielskiej LUB prezentacje nie jest autorską pracą studenta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 student osiągnął wymagane efektów uczenia się w  niskim zakresie (np. student rzadko używa terminologii typowej dla dziedziny fonetyki akustycznej lub robi to niepoprawnie) LUB prezentacje cechuje duża ilość błędów metodologicznych (do 3 błędów) LUB język prezentacji spełnia wymagania stawianych studentom 2 roku filologii angielskiej, lecz w prezentacji pojawia się wiele rażących błędów językowych</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- 3.5 - student osiągnął wymagane efektów uczenia się w widocznym zakresie (np. student regularnie używa terminologii typowej dla dziedziny fonetyki akustycznej, ale nie zawsze robi to poprawnie) ORAZ prezentacje cechuje niewielka ilość błędów metodologicznych (1-2 błędy) ORAZ język prezentacji spełnia wymagania stawiane studentom 2 roku filologii angielskiej, lecz w prezentacji pojawiają się rażące błędy językowe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- 4 - student osiągnął wymagane efekty uczenia się w zadowalającym zakresie (np. student regularnie używa terminologii typowej dla dziedziny fonetyki akustycznej i zawsze robi to poprawnie) ORAZ w prezentacji nie pojawiają się błędy metodologiczne ORAZ język prezentacji spełnia wymagania stawianych studentom 2 roku filologii angielskiej, lecz w prezentacji pojawiają się nieliczne błędy językowe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- 4.5 - student osiągnął wymagane efektów uczenia się (np. student regularnie i biegle używa terminologii typowej dla dziedziny fonetyki akustycznej) ORAZ w prezentacji nie pojawiają się błędy metodologiczne ORAZ język prezentacji spełnia wymagania stawianych studentom 2 roku filologii angielskiej</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 student osiągnął wymagane efektów uczenia się (np. student regularnie i biegle używa terminologii typowej dla dziedziny fonetyki akustycznej) ORAZ w prezentacji nie pojawiają się błędy metodologiczne ORAZ język prezentacji przekracza wymagania stawianych studentom 2 roku filologii angielskiej ORAZ prezentacje studenta jest przedsięwzięciem ambitnym i stanowi wyzwanie pod względem metodologicznym   </w:t>
      </w:r>
    </w:p>
    <w:p w:rsidR="00000000" w:rsidDel="00000000" w:rsidP="00000000" w:rsidRDefault="00000000" w:rsidRPr="00000000" w14:paraId="000000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30</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90</w:t>
            </w:r>
            <w:r w:rsidDel="00000000" w:rsidR="00000000" w:rsidRPr="00000000">
              <w:rPr>
                <w:rtl w:val="0"/>
              </w:rPr>
            </w:r>
          </w:p>
        </w:tc>
      </w:tr>
    </w:tbl>
    <w:p w:rsidR="00000000" w:rsidDel="00000000" w:rsidP="00000000" w:rsidRDefault="00000000" w:rsidRPr="00000000" w14:paraId="000000D5">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podstawowa</w:t>
            </w:r>
          </w:p>
        </w:tc>
      </w:tr>
      <w:tr>
        <w:trPr>
          <w:cantSplit w:val="0"/>
          <w:trHeight w:val="19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Anderson, J and C. Ewen (1987) Principles of Dependency Phonology. Cambridge: Cambridge University Press. </w:t>
              <w:br w:type="textWrapping"/>
              <w:t xml:space="preserve">Backley, P.(2011) An Introduction to Element Theory. Edinburgh: Edinburgh University Press. </w:t>
              <w:br w:type="textWrapping"/>
              <w:t xml:space="preserve">Fant, G., R. Jakobson and M. Halle (1952) Preliminaries to Speech Analysis. Cambridge, MA: MIT Press. </w:t>
              <w:br w:type="textWrapping"/>
              <w:t xml:space="preserve">Harris, J. (2005) Vowel reduction as information loss. In P. Carr, J. Durand and C. J. Ewen (eds.) Headhood, elements, specification, contrastivity. Amsterdam: Benjamins, 119-132.</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uzupełniająca</w:t>
            </w:r>
          </w:p>
        </w:tc>
      </w:tr>
      <w:tr>
        <w:trPr>
          <w:cantSplit w:val="0"/>
          <w:trHeight w:val="10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 J. and E-A. Urua (2001) Lenition degrades information: consonant allophony in Ibibio. Speech, hearing and language: work in progress 13, 72-105. </w:t>
              <w:br w:type="textWrapping"/>
              <w:t xml:space="preserve">Harris, J. and G. Lindsey (1995) The elements of phonological representation. In J. Durand and F. Katamba (eds.) Frontiers of Phonology. Harlow: Longman, 34-79.</w:t>
            </w:r>
          </w:p>
        </w:tc>
      </w:tr>
    </w:tbl>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center" w:pos="4536"/>
        <w:tab w:val="right" w:pos="9072"/>
        <w:tab w:val="center" w:pos="4536"/>
        <w:tab w:val="right" w:pos="9046"/>
      </w:tabs>
      <w:spacing w:after="0" w:line="240" w:lineRule="auto"/>
      <w:jc w:val="right"/>
      <w:rPr/>
    </w:pPr>
    <w:r w:rsidDel="00000000" w:rsidR="00000000" w:rsidRPr="00000000">
      <w:rPr>
        <w:i w:val="1"/>
        <w:rtl w:val="0"/>
      </w:rPr>
      <w:t xml:space="preserve">Załącznik nr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pPr>
      <w:spacing w:after="200" w:line="276" w:lineRule="auto"/>
    </w:pPr>
    <w:rPr>
      <w:rFonts w:ascii="Calibri" w:cs="Calibri" w:eastAsia="Calibri" w:hAnsi="Calibri"/>
      <w:color w:val="000000"/>
      <w:sz w:val="22"/>
      <w:szCs w:val="22"/>
      <w:u w:color="000000"/>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spacing w:after="200" w:line="276" w:lineRule="auto"/>
    </w:pPr>
    <w:rPr>
      <w:rFonts w:ascii="Calibri" w:cs="Calibri" w:eastAsia="Calibri"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spacing w:after="200" w:line="276" w:lineRule="auto"/>
      <w:ind w:left="720"/>
    </w:pPr>
    <w:rPr>
      <w:rFonts w:ascii="Calibri" w:cs="Calibri" w:eastAsia="Calibri" w:hAnsi="Calibri"/>
      <w:color w:val="000000"/>
      <w:sz w:val="22"/>
      <w:szCs w:val="22"/>
      <w:u w:color="000000"/>
      <w:lang w:val="en-US"/>
    </w:rPr>
  </w:style>
  <w:style w:type="numbering" w:styleId="ImportedStyle1" w:customStyle="1">
    <w:name w:val="Imported Style 1"/>
    <w:pPr>
      <w:numPr>
        <w:numId w:val="1"/>
      </w:numPr>
    </w:pPr>
  </w:style>
  <w:style w:type="paragraph" w:styleId="Default" w:customStyle="1">
    <w:name w:val="Default"/>
    <w:pPr>
      <w:spacing w:after="200" w:line="276" w:lineRule="auto"/>
    </w:pPr>
    <w:rPr>
      <w:rFonts w:ascii="Helvetica Neue" w:cs="Arial Unicode MS" w:hAnsi="Helvetica Neue"/>
      <w:color w:val="000000"/>
      <w:sz w:val="22"/>
      <w:szCs w:val="22"/>
      <w:u w:color="000000"/>
      <w:lang w:val="en-US"/>
    </w:rPr>
  </w:style>
  <w:style w:type="paragraph" w:styleId="TableStyle2A" w:customStyle="1">
    <w:name w:val="Table Style 2 A"/>
    <w:pPr>
      <w:spacing w:after="200" w:line="276" w:lineRule="auto"/>
    </w:pPr>
    <w:rPr>
      <w:rFonts w:ascii="Helvetica Neue" w:cs="Arial Unicode MS" w:hAnsi="Helvetica Neue"/>
      <w:color w:val="000000"/>
      <w:u w:color="000000"/>
      <w:lang w:val="en-US"/>
    </w:rPr>
  </w:style>
  <w:style w:type="paragraph" w:styleId="Stopka">
    <w:name w:val="footer"/>
    <w:basedOn w:val="Normalny"/>
    <w:link w:val="StopkaZnak"/>
    <w:uiPriority w:val="99"/>
    <w:unhideWhenUsed w:val="1"/>
    <w:rsid w:val="00F9277D"/>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9277D"/>
    <w:rPr>
      <w:rFonts w:ascii="Calibri" w:cs="Calibri" w:eastAsia="Calibri" w:hAnsi="Calibri"/>
      <w:color w:val="000000"/>
      <w:sz w:val="22"/>
      <w:szCs w:val="22"/>
      <w:u w:color="00000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nyajIFL7cLlTM7wP4jTtq8u0rg==">AMUW2mWuz2Y4gENfjc4TemHg2GAQspDt79EcwdmPyW5rP7PLBgy16n2tBJZjPGwmnXLke3CseesItSAs7bblXRHQerb6QUznXPLiXsdbN0kUD+KsPqkp4WKP1GnAoQv0T65kAalddLnP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2021-09-17T07:27:00Z</dcterms:created>
</cp:coreProperties>
</file>